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5"/>
        <w:gridCol w:w="4388"/>
        <w:gridCol w:w="1762"/>
        <w:gridCol w:w="2151"/>
      </w:tblGrid>
      <w:tr w:rsidR="0029667E" w:rsidRPr="0029667E" w:rsidTr="00C90428">
        <w:trPr>
          <w:cantSplit/>
          <w:trHeight w:val="335"/>
        </w:trPr>
        <w:tc>
          <w:tcPr>
            <w:tcW w:w="2957" w:type="pct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29667E" w:rsidRPr="0029667E" w:rsidRDefault="00FF5F97" w:rsidP="00C90428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[</w:t>
            </w:r>
            <w:r w:rsidRPr="00FF5F97">
              <w:rPr>
                <w:rFonts w:cstheme="minorHAnsi"/>
                <w:noProof/>
                <w:highlight w:val="yellow"/>
              </w:rPr>
              <w:t>company logo</w:t>
            </w:r>
            <w:r>
              <w:rPr>
                <w:rFonts w:cstheme="minorHAnsi"/>
                <w:noProof/>
              </w:rPr>
              <w:t>]</w:t>
            </w:r>
          </w:p>
        </w:tc>
        <w:tc>
          <w:tcPr>
            <w:tcW w:w="920" w:type="pct"/>
            <w:shd w:val="clear" w:color="auto" w:fill="D9D9D9"/>
            <w:vAlign w:val="center"/>
          </w:tcPr>
          <w:p w:rsidR="0029667E" w:rsidRPr="0029667E" w:rsidRDefault="0029667E" w:rsidP="00C90428">
            <w:pPr>
              <w:spacing w:after="0" w:line="240" w:lineRule="auto"/>
              <w:rPr>
                <w:rFonts w:cstheme="minorHAnsi"/>
              </w:rPr>
            </w:pPr>
            <w:r w:rsidRPr="0029667E">
              <w:rPr>
                <w:rFonts w:cstheme="minorHAnsi"/>
              </w:rPr>
              <w:t>Policy Number</w:t>
            </w:r>
          </w:p>
        </w:tc>
        <w:tc>
          <w:tcPr>
            <w:tcW w:w="1123" w:type="pct"/>
            <w:vAlign w:val="center"/>
          </w:tcPr>
          <w:p w:rsidR="0029667E" w:rsidRPr="0029667E" w:rsidRDefault="00E8229E" w:rsidP="00C90428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301-0</w:t>
            </w:r>
          </w:p>
        </w:tc>
      </w:tr>
      <w:tr w:rsidR="0029667E" w:rsidRPr="0029667E" w:rsidTr="00C90428">
        <w:trPr>
          <w:cantSplit/>
          <w:trHeight w:val="334"/>
        </w:trPr>
        <w:tc>
          <w:tcPr>
            <w:tcW w:w="2957" w:type="pct"/>
            <w:gridSpan w:val="2"/>
            <w:vMerge/>
            <w:tcBorders>
              <w:left w:val="nil"/>
            </w:tcBorders>
            <w:vAlign w:val="center"/>
          </w:tcPr>
          <w:p w:rsidR="0029667E" w:rsidRPr="0029667E" w:rsidRDefault="0029667E" w:rsidP="00C90428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20" w:type="pct"/>
            <w:shd w:val="clear" w:color="auto" w:fill="D9D9D9"/>
            <w:vAlign w:val="center"/>
          </w:tcPr>
          <w:p w:rsidR="0029667E" w:rsidRPr="0029667E" w:rsidRDefault="0029667E" w:rsidP="00C90428">
            <w:pPr>
              <w:spacing w:after="0" w:line="240" w:lineRule="auto"/>
              <w:rPr>
                <w:rFonts w:cstheme="minorHAnsi"/>
              </w:rPr>
            </w:pPr>
            <w:r w:rsidRPr="0029667E">
              <w:rPr>
                <w:rFonts w:cstheme="minorHAnsi"/>
              </w:rPr>
              <w:t>Effective Date</w:t>
            </w:r>
          </w:p>
        </w:tc>
        <w:tc>
          <w:tcPr>
            <w:tcW w:w="1123" w:type="pct"/>
            <w:vAlign w:val="center"/>
          </w:tcPr>
          <w:p w:rsidR="0029667E" w:rsidRPr="0029667E" w:rsidRDefault="0029667E" w:rsidP="00C90428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9667E" w:rsidRPr="0029667E" w:rsidTr="00C90428">
        <w:trPr>
          <w:cantSplit/>
          <w:trHeight w:val="269"/>
        </w:trPr>
        <w:tc>
          <w:tcPr>
            <w:tcW w:w="2957" w:type="pct"/>
            <w:gridSpan w:val="2"/>
            <w:vMerge/>
            <w:tcBorders>
              <w:left w:val="nil"/>
            </w:tcBorders>
            <w:vAlign w:val="center"/>
          </w:tcPr>
          <w:p w:rsidR="0029667E" w:rsidRPr="0029667E" w:rsidRDefault="0029667E" w:rsidP="00C90428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20" w:type="pct"/>
            <w:vMerge w:val="restart"/>
            <w:shd w:val="clear" w:color="auto" w:fill="D9D9D9"/>
            <w:vAlign w:val="center"/>
          </w:tcPr>
          <w:p w:rsidR="0029667E" w:rsidRPr="0029667E" w:rsidRDefault="0029667E" w:rsidP="00C90428">
            <w:pPr>
              <w:spacing w:after="0" w:line="240" w:lineRule="auto"/>
              <w:rPr>
                <w:rFonts w:cstheme="minorHAnsi"/>
              </w:rPr>
            </w:pPr>
            <w:r w:rsidRPr="0029667E">
              <w:rPr>
                <w:rFonts w:cstheme="minorHAnsi"/>
              </w:rPr>
              <w:t>Statutory Authority</w:t>
            </w:r>
          </w:p>
        </w:tc>
        <w:tc>
          <w:tcPr>
            <w:tcW w:w="1123" w:type="pct"/>
            <w:vMerge w:val="restart"/>
            <w:vAlign w:val="center"/>
          </w:tcPr>
          <w:p w:rsidR="0029667E" w:rsidRPr="0029667E" w:rsidRDefault="0029667E" w:rsidP="00C90428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29667E" w:rsidRPr="0029667E" w:rsidRDefault="0029667E" w:rsidP="00C90428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9667E" w:rsidRPr="0029667E" w:rsidTr="00C90428">
        <w:trPr>
          <w:trHeight w:val="386"/>
        </w:trPr>
        <w:tc>
          <w:tcPr>
            <w:tcW w:w="666" w:type="pct"/>
            <w:shd w:val="clear" w:color="auto" w:fill="D9D9D9"/>
            <w:vAlign w:val="center"/>
          </w:tcPr>
          <w:p w:rsidR="0029667E" w:rsidRPr="0029667E" w:rsidRDefault="0029667E" w:rsidP="00C90428">
            <w:pPr>
              <w:spacing w:after="0" w:line="240" w:lineRule="auto"/>
              <w:jc w:val="both"/>
              <w:rPr>
                <w:rFonts w:cstheme="minorHAnsi"/>
              </w:rPr>
            </w:pPr>
            <w:r w:rsidRPr="0029667E">
              <w:rPr>
                <w:rFonts w:cstheme="minorHAnsi"/>
              </w:rPr>
              <w:t xml:space="preserve">Policy Title </w:t>
            </w:r>
          </w:p>
        </w:tc>
        <w:tc>
          <w:tcPr>
            <w:tcW w:w="2291" w:type="pct"/>
            <w:vAlign w:val="center"/>
          </w:tcPr>
          <w:p w:rsidR="0029667E" w:rsidRPr="0029667E" w:rsidRDefault="0029667E" w:rsidP="00C90428">
            <w:pPr>
              <w:spacing w:after="0" w:line="240" w:lineRule="auto"/>
              <w:rPr>
                <w:rFonts w:cstheme="minorHAnsi"/>
              </w:rPr>
            </w:pPr>
          </w:p>
          <w:p w:rsidR="0029667E" w:rsidRPr="0029667E" w:rsidRDefault="00E8229E" w:rsidP="00C904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No Show</w:t>
            </w:r>
          </w:p>
          <w:p w:rsidR="0029667E" w:rsidRPr="0029667E" w:rsidRDefault="0029667E" w:rsidP="00C9042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20" w:type="pct"/>
            <w:vMerge/>
            <w:shd w:val="clear" w:color="auto" w:fill="D9D9D9"/>
            <w:vAlign w:val="center"/>
          </w:tcPr>
          <w:p w:rsidR="0029667E" w:rsidRPr="0029667E" w:rsidRDefault="0029667E" w:rsidP="00C9042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23" w:type="pct"/>
            <w:vMerge/>
            <w:vAlign w:val="center"/>
          </w:tcPr>
          <w:p w:rsidR="0029667E" w:rsidRPr="0029667E" w:rsidRDefault="0029667E" w:rsidP="00C90428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9667E" w:rsidRPr="0029667E" w:rsidTr="00C90428">
        <w:trPr>
          <w:trHeight w:val="278"/>
        </w:trPr>
        <w:tc>
          <w:tcPr>
            <w:tcW w:w="666" w:type="pct"/>
            <w:shd w:val="clear" w:color="auto" w:fill="D9D9D9"/>
            <w:vAlign w:val="center"/>
          </w:tcPr>
          <w:p w:rsidR="0029667E" w:rsidRPr="0029667E" w:rsidRDefault="0029667E" w:rsidP="00C90428">
            <w:pPr>
              <w:spacing w:after="0" w:line="240" w:lineRule="auto"/>
              <w:jc w:val="both"/>
              <w:rPr>
                <w:rFonts w:cstheme="minorHAnsi"/>
              </w:rPr>
            </w:pPr>
            <w:r w:rsidRPr="0029667E">
              <w:rPr>
                <w:rFonts w:cstheme="minorHAnsi"/>
              </w:rPr>
              <w:t>Approval(s)</w:t>
            </w:r>
          </w:p>
        </w:tc>
        <w:tc>
          <w:tcPr>
            <w:tcW w:w="4334" w:type="pct"/>
            <w:gridSpan w:val="3"/>
            <w:vAlign w:val="center"/>
          </w:tcPr>
          <w:p w:rsidR="0029667E" w:rsidRPr="0029667E" w:rsidRDefault="0029667E" w:rsidP="00C90428">
            <w:pPr>
              <w:spacing w:after="0" w:line="240" w:lineRule="auto"/>
              <w:rPr>
                <w:rFonts w:cstheme="minorHAnsi"/>
              </w:rPr>
            </w:pPr>
          </w:p>
          <w:p w:rsidR="0029667E" w:rsidRPr="0029667E" w:rsidRDefault="0029667E" w:rsidP="00C90428">
            <w:pPr>
              <w:spacing w:after="0" w:line="240" w:lineRule="auto"/>
              <w:rPr>
                <w:rFonts w:cstheme="minorHAnsi"/>
              </w:rPr>
            </w:pPr>
            <w:r w:rsidRPr="0029667E">
              <w:rPr>
                <w:rFonts w:cstheme="minorHAnsi"/>
              </w:rPr>
              <w:t>_____________________</w:t>
            </w:r>
            <w:r w:rsidR="00C90428">
              <w:rPr>
                <w:rFonts w:cstheme="minorHAnsi"/>
              </w:rPr>
              <w:t>____</w:t>
            </w:r>
            <w:r w:rsidR="00CA7910">
              <w:rPr>
                <w:rFonts w:cstheme="minorHAnsi"/>
              </w:rPr>
              <w:t>____________</w:t>
            </w:r>
          </w:p>
          <w:p w:rsidR="0029667E" w:rsidRPr="0029667E" w:rsidRDefault="00FF5F97" w:rsidP="00C90428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FF5F97">
              <w:rPr>
                <w:rFonts w:cstheme="minorHAnsi"/>
                <w:highlight w:val="yellow"/>
              </w:rPr>
              <w:t>Name</w:t>
            </w:r>
            <w:r>
              <w:rPr>
                <w:rFonts w:cstheme="minorHAnsi"/>
              </w:rPr>
              <w:t>]</w:t>
            </w:r>
            <w:r w:rsidR="00CA7910">
              <w:rPr>
                <w:rFonts w:cstheme="minorHAnsi"/>
              </w:rPr>
              <w:t>, Director of Clinical Operations</w:t>
            </w:r>
          </w:p>
        </w:tc>
      </w:tr>
    </w:tbl>
    <w:p w:rsidR="009271FC" w:rsidRDefault="009271FC" w:rsidP="0029667E">
      <w:pPr>
        <w:spacing w:after="0" w:line="240" w:lineRule="auto"/>
        <w:rPr>
          <w:rFonts w:cstheme="minorHAnsi"/>
        </w:rPr>
      </w:pPr>
    </w:p>
    <w:p w:rsidR="005D6DFE" w:rsidRPr="0029667E" w:rsidRDefault="005D6DFE" w:rsidP="0029667E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8"/>
        <w:gridCol w:w="8290"/>
      </w:tblGrid>
      <w:tr w:rsidR="0029667E" w:rsidRPr="0029667E" w:rsidTr="005D6DFE">
        <w:tc>
          <w:tcPr>
            <w:tcW w:w="1268" w:type="dxa"/>
          </w:tcPr>
          <w:p w:rsidR="0029667E" w:rsidRPr="0029667E" w:rsidRDefault="0029667E" w:rsidP="00C90428">
            <w:pPr>
              <w:rPr>
                <w:rFonts w:cstheme="minorHAnsi"/>
                <w:b/>
              </w:rPr>
            </w:pPr>
            <w:r w:rsidRPr="0029667E">
              <w:rPr>
                <w:rFonts w:cstheme="minorHAnsi"/>
                <w:b/>
              </w:rPr>
              <w:t>Policy</w:t>
            </w:r>
          </w:p>
        </w:tc>
        <w:tc>
          <w:tcPr>
            <w:tcW w:w="8290" w:type="dxa"/>
          </w:tcPr>
          <w:p w:rsidR="00E8229E" w:rsidRDefault="00E8229E" w:rsidP="00CA7910">
            <w:r>
              <w:t>The Board Finance Committee of</w:t>
            </w:r>
            <w:r w:rsidR="00FF5F97">
              <w:t xml:space="preserve"> [</w:t>
            </w:r>
            <w:r w:rsidR="00FF5F97" w:rsidRPr="00FF5F97">
              <w:rPr>
                <w:highlight w:val="yellow"/>
              </w:rPr>
              <w:t>company</w:t>
            </w:r>
            <w:r w:rsidR="00FF5F97">
              <w:t>]</w:t>
            </w:r>
            <w:r>
              <w:rPr>
                <w:rFonts w:cstheme="minorHAnsi"/>
              </w:rPr>
              <w:t xml:space="preserve"> </w:t>
            </w:r>
            <w:r>
              <w:t xml:space="preserve">approved implementation of a no show policy that will apply to medical and dental patients.  The policy is as follows: </w:t>
            </w:r>
          </w:p>
          <w:p w:rsidR="00E8229E" w:rsidRPr="00E8229E" w:rsidRDefault="00E8229E" w:rsidP="00E8229E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>
              <w:t xml:space="preserve">Any existing patient that no shows two times in a 90 day period will only be eligible for walk-in care. </w:t>
            </w:r>
          </w:p>
          <w:p w:rsidR="00E8229E" w:rsidRPr="00E8229E" w:rsidRDefault="00E8229E" w:rsidP="00CA7910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>
              <w:t xml:space="preserve">New HIV negative patients who no show for two </w:t>
            </w:r>
            <w:proofErr w:type="gramStart"/>
            <w:r>
              <w:t>New</w:t>
            </w:r>
            <w:proofErr w:type="gramEnd"/>
            <w:r>
              <w:t xml:space="preserve"> patient appointments will not be eligible to receive services from </w:t>
            </w:r>
            <w:r w:rsidR="00F854ED">
              <w:t>[</w:t>
            </w:r>
            <w:r w:rsidR="00F854ED" w:rsidRPr="00F854ED">
              <w:rPr>
                <w:highlight w:val="yellow"/>
              </w:rPr>
              <w:t>company</w:t>
            </w:r>
            <w:r w:rsidR="00F854ED">
              <w:t>]</w:t>
            </w:r>
            <w:r>
              <w:t xml:space="preserve"> for one year. </w:t>
            </w:r>
          </w:p>
          <w:p w:rsidR="0088130A" w:rsidRPr="0029667E" w:rsidRDefault="00E8229E" w:rsidP="00C7405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>
              <w:t xml:space="preserve">New HIV positive patients who no show will be </w:t>
            </w:r>
            <w:r w:rsidR="00C7405D">
              <w:t>followed</w:t>
            </w:r>
            <w:r>
              <w:t xml:space="preserve"> by medical adherence</w:t>
            </w:r>
            <w:r w:rsidR="00C7405D">
              <w:t xml:space="preserve">. </w:t>
            </w:r>
          </w:p>
        </w:tc>
      </w:tr>
      <w:tr w:rsidR="0029667E" w:rsidRPr="0029667E" w:rsidTr="005D6DFE">
        <w:tc>
          <w:tcPr>
            <w:tcW w:w="1268" w:type="dxa"/>
          </w:tcPr>
          <w:p w:rsidR="0029667E" w:rsidRPr="0029667E" w:rsidRDefault="0029667E" w:rsidP="00C90428">
            <w:pPr>
              <w:rPr>
                <w:rFonts w:cstheme="minorHAnsi"/>
                <w:b/>
              </w:rPr>
            </w:pPr>
            <w:r w:rsidRPr="0029667E">
              <w:rPr>
                <w:rFonts w:cstheme="minorHAnsi"/>
                <w:b/>
              </w:rPr>
              <w:t>Procedure</w:t>
            </w:r>
          </w:p>
        </w:tc>
        <w:tc>
          <w:tcPr>
            <w:tcW w:w="8290" w:type="dxa"/>
          </w:tcPr>
          <w:p w:rsidR="00F43186" w:rsidRDefault="00F43186" w:rsidP="0081332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The No Show policy applies to the following visit types:</w:t>
            </w:r>
          </w:p>
          <w:p w:rsidR="00F43186" w:rsidRDefault="00F43186" w:rsidP="00F43186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Medical:</w:t>
            </w:r>
          </w:p>
          <w:p w:rsidR="00F43186" w:rsidRDefault="00F43186" w:rsidP="00F43186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HIV negative follow-up and physical exam</w:t>
            </w:r>
          </w:p>
          <w:p w:rsidR="00F43186" w:rsidRDefault="00F43186" w:rsidP="00F43186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HIV negative existing patients scheduled for a New visit due to a transfer of care to another </w:t>
            </w:r>
            <w:r w:rsidR="00F854ED">
              <w:t>[</w:t>
            </w:r>
            <w:r w:rsidR="00F854ED" w:rsidRPr="00F854ED">
              <w:rPr>
                <w:highlight w:val="yellow"/>
              </w:rPr>
              <w:t>company</w:t>
            </w:r>
            <w:r w:rsidR="00F854ED">
              <w:t xml:space="preserve">] </w:t>
            </w:r>
            <w:r>
              <w:rPr>
                <w:rFonts w:cstheme="minorHAnsi"/>
              </w:rPr>
              <w:t>provider</w:t>
            </w:r>
          </w:p>
          <w:p w:rsidR="00F43186" w:rsidRDefault="00F43186" w:rsidP="00F43186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HIV negative New to </w:t>
            </w:r>
            <w:r w:rsidR="00F854ED">
              <w:t>[</w:t>
            </w:r>
            <w:r w:rsidR="00F854ED" w:rsidRPr="00F854ED">
              <w:rPr>
                <w:highlight w:val="yellow"/>
              </w:rPr>
              <w:t>company</w:t>
            </w:r>
            <w:r w:rsidR="00F854ED">
              <w:t>]</w:t>
            </w:r>
          </w:p>
          <w:p w:rsidR="00F43186" w:rsidRDefault="00F43186" w:rsidP="00F43186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Endoscopy</w:t>
            </w:r>
          </w:p>
          <w:p w:rsidR="00F43186" w:rsidRDefault="00F43186" w:rsidP="00F43186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GYN</w:t>
            </w:r>
          </w:p>
          <w:p w:rsidR="00F43186" w:rsidRDefault="00F43186" w:rsidP="00F43186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Acupuncture</w:t>
            </w:r>
          </w:p>
          <w:p w:rsidR="00F43186" w:rsidRDefault="00F43186" w:rsidP="00F43186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Nutrition</w:t>
            </w:r>
          </w:p>
          <w:p w:rsidR="00F43186" w:rsidRDefault="00F43186" w:rsidP="00F43186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Dental</w:t>
            </w:r>
          </w:p>
          <w:p w:rsidR="00FF31DA" w:rsidRDefault="00C7405D" w:rsidP="0081332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Patients will be advised of the no show policy through the following mechanisms: </w:t>
            </w:r>
          </w:p>
          <w:p w:rsidR="00C7405D" w:rsidRDefault="00C7405D" w:rsidP="00C7405D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Signage</w:t>
            </w:r>
          </w:p>
          <w:p w:rsidR="00C7405D" w:rsidRDefault="00C7405D" w:rsidP="00C7405D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Appointment reminders</w:t>
            </w:r>
          </w:p>
          <w:p w:rsidR="00C7405D" w:rsidRDefault="00C7405D" w:rsidP="00C7405D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Patient handbook</w:t>
            </w:r>
          </w:p>
          <w:p w:rsidR="00C7405D" w:rsidRDefault="00C7405D" w:rsidP="00C7405D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Conversation with staff</w:t>
            </w:r>
          </w:p>
          <w:p w:rsidR="00C7405D" w:rsidRDefault="00C7405D" w:rsidP="00C740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C7405D">
              <w:rPr>
                <w:rFonts w:cstheme="minorHAnsi"/>
              </w:rPr>
              <w:t xml:space="preserve">Client Services Representatives (CSRs) are responsible for </w:t>
            </w:r>
            <w:r>
              <w:rPr>
                <w:rFonts w:cstheme="minorHAnsi"/>
              </w:rPr>
              <w:t xml:space="preserve">updating the visit status: </w:t>
            </w:r>
          </w:p>
          <w:p w:rsidR="00752C69" w:rsidRDefault="00C7405D" w:rsidP="00C7405D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If a patient calls, leaves a voice message or e-mails before the appointment to inform us they may be late, cannot make the appointment or need to re-schedule; then the appointment </w:t>
            </w:r>
            <w:r w:rsidR="00752C69">
              <w:rPr>
                <w:rFonts w:cstheme="minorHAnsi"/>
              </w:rPr>
              <w:t xml:space="preserve">will be recorded as to either “Cancelled by Patient” or Re-Scheduled”. </w:t>
            </w:r>
          </w:p>
          <w:p w:rsidR="00C7405D" w:rsidRDefault="00752C69" w:rsidP="00752C69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If the patient does not call, leave a message or e-mail before the </w:t>
            </w:r>
            <w:r>
              <w:rPr>
                <w:rFonts w:cstheme="minorHAnsi"/>
              </w:rPr>
              <w:lastRenderedPageBreak/>
              <w:t>appointment and arrives after the 15 minute grace period, then the appointment will be recorded as</w:t>
            </w:r>
            <w:r w:rsidR="00C7405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“No Show”. </w:t>
            </w:r>
          </w:p>
          <w:p w:rsidR="00752C69" w:rsidRDefault="00752C69" w:rsidP="00752C69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If the patient has two No Show appointments in a 90 day period, then the Client Service Staff person will send a Telephone Encounter to the Manager, Client Services informing that the patient no showed two times in a 90 day period.  The Manager, Client Services will verify the No Show time frame and place a Global Alert on the patient file stating: “Walk-In Med Care Only” or “Walk-In Den Care Only” and document “</w:t>
            </w:r>
            <w:proofErr w:type="spellStart"/>
            <w:r>
              <w:rPr>
                <w:rFonts w:cstheme="minorHAnsi"/>
              </w:rPr>
              <w:t>Eff</w:t>
            </w:r>
            <w:proofErr w:type="spellEnd"/>
            <w:r>
              <w:rPr>
                <w:rFonts w:cstheme="minorHAnsi"/>
              </w:rPr>
              <w:t xml:space="preserve"> date: Mo/Day/</w:t>
            </w:r>
            <w:proofErr w:type="spellStart"/>
            <w:r>
              <w:rPr>
                <w:rFonts w:cstheme="minorHAnsi"/>
              </w:rPr>
              <w:t>Yr</w:t>
            </w:r>
            <w:proofErr w:type="spellEnd"/>
            <w:r>
              <w:rPr>
                <w:rFonts w:cstheme="minorHAnsi"/>
              </w:rPr>
              <w:t xml:space="preserve">” in the notes section. </w:t>
            </w:r>
          </w:p>
          <w:p w:rsidR="00B8451F" w:rsidRDefault="00B8451F" w:rsidP="00B8451F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Any staff person who no shows a patient is responsible for the procedure as stated in c above. </w:t>
            </w:r>
          </w:p>
          <w:p w:rsidR="001C4E0D" w:rsidRDefault="001C4E0D" w:rsidP="00752C69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The patient will be scheduled for walk-in care</w:t>
            </w:r>
            <w:bookmarkStart w:id="0" w:name="_GoBack"/>
            <w:bookmarkEnd w:id="0"/>
            <w:r>
              <w:rPr>
                <w:rFonts w:cstheme="minorHAnsi"/>
              </w:rPr>
              <w:t xml:space="preserve"> with their primary provider as first choice and any available provider if not available. A patient must walk-in to be scheduled. They are not permitted to be scheduled over the phone or by e-mail. </w:t>
            </w:r>
          </w:p>
          <w:p w:rsidR="00B16CED" w:rsidRDefault="00F43186" w:rsidP="00B16CED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If a brand new </w:t>
            </w:r>
            <w:r w:rsidR="00B16CED">
              <w:rPr>
                <w:rFonts w:cstheme="minorHAnsi"/>
              </w:rPr>
              <w:t xml:space="preserve">patient </w:t>
            </w:r>
            <w:r>
              <w:rPr>
                <w:rFonts w:cstheme="minorHAnsi"/>
              </w:rPr>
              <w:t xml:space="preserve">to </w:t>
            </w:r>
            <w:r w:rsidR="00F854ED">
              <w:t>[</w:t>
            </w:r>
            <w:r w:rsidR="00F854ED" w:rsidRPr="00F854ED">
              <w:rPr>
                <w:highlight w:val="yellow"/>
              </w:rPr>
              <w:t>company</w:t>
            </w:r>
            <w:r w:rsidR="00F854ED">
              <w:t xml:space="preserve">] </w:t>
            </w:r>
            <w:r>
              <w:rPr>
                <w:rFonts w:cstheme="minorHAnsi"/>
              </w:rPr>
              <w:t xml:space="preserve">has two No Shows for New </w:t>
            </w:r>
            <w:r w:rsidR="00B16CED">
              <w:rPr>
                <w:rFonts w:cstheme="minorHAnsi"/>
              </w:rPr>
              <w:t>patient appointments and is HIV negative then the Client Service Staff person will send a Telephone Encounter to the Manager, Client Services informing that the patient no showed two times.  The Manager, Client Services will verify the No Shows</w:t>
            </w:r>
            <w:r w:rsidR="001C4E0D">
              <w:rPr>
                <w:rFonts w:cstheme="minorHAnsi"/>
              </w:rPr>
              <w:t xml:space="preserve">, mark the TE as addressed </w:t>
            </w:r>
            <w:r w:rsidR="00B16CED">
              <w:rPr>
                <w:rFonts w:cstheme="minorHAnsi"/>
              </w:rPr>
              <w:t xml:space="preserve">and place a Global Alert on the patient file stating: </w:t>
            </w:r>
          </w:p>
          <w:p w:rsidR="00F43186" w:rsidRDefault="00B16CED" w:rsidP="00B16CED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“Not Eligible for Care </w:t>
            </w:r>
            <w:proofErr w:type="gramStart"/>
            <w:r>
              <w:rPr>
                <w:rFonts w:cstheme="minorHAnsi"/>
              </w:rPr>
              <w:t>Until</w:t>
            </w:r>
            <w:proofErr w:type="gramEnd"/>
            <w:r>
              <w:rPr>
                <w:rFonts w:cstheme="minorHAnsi"/>
              </w:rPr>
              <w:t xml:space="preserve"> Mo/Day/</w:t>
            </w:r>
            <w:proofErr w:type="spellStart"/>
            <w:r>
              <w:rPr>
                <w:rFonts w:cstheme="minorHAnsi"/>
              </w:rPr>
              <w:t>Yr</w:t>
            </w:r>
            <w:proofErr w:type="spellEnd"/>
            <w:r>
              <w:rPr>
                <w:rFonts w:cstheme="minorHAnsi"/>
              </w:rPr>
              <w:t>”.  A note shall be placed in the m</w:t>
            </w:r>
            <w:r w:rsidR="001C4E0D">
              <w:rPr>
                <w:rFonts w:cstheme="minorHAnsi"/>
              </w:rPr>
              <w:t xml:space="preserve">essage field stating “2 New </w:t>
            </w:r>
            <w:r>
              <w:rPr>
                <w:rFonts w:cstheme="minorHAnsi"/>
              </w:rPr>
              <w:t xml:space="preserve">no shows”. </w:t>
            </w:r>
          </w:p>
          <w:p w:rsidR="001C4E0D" w:rsidRDefault="00752C69" w:rsidP="001C4E0D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Existing medical and dental appointments will remain on the appointment schedule. </w:t>
            </w:r>
          </w:p>
          <w:p w:rsidR="001C3E0E" w:rsidRPr="001C4E0D" w:rsidRDefault="001C3E0E" w:rsidP="001C4E0D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When scheduling, all staff should check the patient’s encounters to verify the patient does not have two or more no shows in the last 90 days.  </w:t>
            </w:r>
          </w:p>
          <w:p w:rsidR="00752C69" w:rsidRPr="00840003" w:rsidRDefault="001C4E0D" w:rsidP="00E32CBC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After seeing t</w:t>
            </w:r>
            <w:r w:rsidR="00752C69">
              <w:rPr>
                <w:rFonts w:cstheme="minorHAnsi"/>
              </w:rPr>
              <w:t xml:space="preserve">he patient’s </w:t>
            </w:r>
            <w:r w:rsidR="00F43186">
              <w:rPr>
                <w:rFonts w:cstheme="minorHAnsi"/>
              </w:rPr>
              <w:t xml:space="preserve">primary </w:t>
            </w:r>
            <w:r w:rsidR="00752C69">
              <w:rPr>
                <w:rFonts w:cstheme="minorHAnsi"/>
              </w:rPr>
              <w:t>provider</w:t>
            </w:r>
            <w:r>
              <w:rPr>
                <w:rFonts w:cstheme="minorHAnsi"/>
              </w:rPr>
              <w:t xml:space="preserve"> for a walk-in appointment</w:t>
            </w:r>
            <w:r w:rsidR="00F43186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the </w:t>
            </w:r>
            <w:r w:rsidR="00F43186">
              <w:rPr>
                <w:rFonts w:cstheme="minorHAnsi"/>
              </w:rPr>
              <w:t>provider</w:t>
            </w:r>
            <w:r w:rsidR="00752C69">
              <w:rPr>
                <w:rFonts w:cstheme="minorHAnsi"/>
              </w:rPr>
              <w:t xml:space="preserve"> </w:t>
            </w:r>
            <w:r w:rsidR="00F43186">
              <w:rPr>
                <w:rFonts w:cstheme="minorHAnsi"/>
              </w:rPr>
              <w:t xml:space="preserve">will send a Telephone Encounter </w:t>
            </w:r>
            <w:r w:rsidR="00F43186">
              <w:t>to,</w:t>
            </w:r>
            <w:r w:rsidR="00F854ED">
              <w:t xml:space="preserve"> </w:t>
            </w:r>
            <w:r w:rsidR="00F43186">
              <w:t>Call Center st</w:t>
            </w:r>
            <w:r>
              <w:t>ating “Eligible for Scheduling”</w:t>
            </w:r>
            <w:r w:rsidR="00F43186">
              <w:t xml:space="preserve">.  </w:t>
            </w:r>
            <w:r w:rsidR="00E32CBC">
              <w:t xml:space="preserve">The lifting of the walk-in restriction will be done at the discretion of the provider, following a conversation between the provider and patient to lift the restriction. </w:t>
            </w:r>
            <w:r w:rsidR="00F43186">
              <w:t xml:space="preserve">The Client Service staff person receiving the telephone Encounter will remove the alert and mark the Telephone Encounter Addressed. </w:t>
            </w:r>
          </w:p>
          <w:p w:rsidR="00840003" w:rsidRPr="00C7405D" w:rsidRDefault="00840003" w:rsidP="00E32CBC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</w:rPr>
            </w:pPr>
            <w:r>
              <w:t xml:space="preserve">If it is </w:t>
            </w:r>
            <w:r w:rsidR="001C3E0E">
              <w:t>observed that an appointment is scheduled in error a Telephone Encounter should be sent to the Manager, Client Services.</w:t>
            </w:r>
          </w:p>
        </w:tc>
      </w:tr>
    </w:tbl>
    <w:p w:rsidR="0029667E" w:rsidRPr="0029667E" w:rsidRDefault="0029667E" w:rsidP="0029667E">
      <w:pPr>
        <w:spacing w:after="0" w:line="240" w:lineRule="auto"/>
        <w:rPr>
          <w:rFonts w:cstheme="minorHAnsi"/>
        </w:rPr>
      </w:pPr>
    </w:p>
    <w:p w:rsidR="0029667E" w:rsidRPr="0029667E" w:rsidRDefault="0029667E" w:rsidP="0029667E">
      <w:pPr>
        <w:pBdr>
          <w:bottom w:val="single" w:sz="12" w:space="1" w:color="auto"/>
        </w:pBdr>
        <w:spacing w:after="0" w:line="240" w:lineRule="auto"/>
        <w:rPr>
          <w:rFonts w:cstheme="minorHAnsi"/>
        </w:rPr>
      </w:pPr>
    </w:p>
    <w:p w:rsidR="0029667E" w:rsidRPr="0029667E" w:rsidRDefault="00F854ED" w:rsidP="0029667E">
      <w:pPr>
        <w:spacing w:after="0" w:line="240" w:lineRule="auto"/>
        <w:rPr>
          <w:rFonts w:cstheme="minorHAnsi"/>
        </w:rPr>
      </w:pPr>
      <w:r>
        <w:rPr>
          <w:rFonts w:cstheme="minorHAnsi"/>
        </w:rPr>
        <w:t>[</w:t>
      </w:r>
      <w:proofErr w:type="gramStart"/>
      <w:r w:rsidRPr="00F854ED">
        <w:rPr>
          <w:rFonts w:cstheme="minorHAnsi"/>
          <w:highlight w:val="yellow"/>
        </w:rPr>
        <w:t>name</w:t>
      </w:r>
      <w:proofErr w:type="gramEnd"/>
      <w:r>
        <w:rPr>
          <w:rFonts w:cstheme="minorHAnsi"/>
        </w:rPr>
        <w:t>]</w:t>
      </w:r>
      <w:r w:rsidR="003C764A">
        <w:rPr>
          <w:rFonts w:cstheme="minorHAnsi"/>
        </w:rPr>
        <w:t>, Clinical Operations</w:t>
      </w:r>
      <w:r w:rsidR="0029667E" w:rsidRPr="0029667E">
        <w:rPr>
          <w:rFonts w:cstheme="minorHAnsi"/>
        </w:rPr>
        <w:tab/>
      </w:r>
      <w:r w:rsidR="0029667E" w:rsidRPr="0029667E">
        <w:rPr>
          <w:rFonts w:cstheme="minorHAnsi"/>
        </w:rPr>
        <w:tab/>
      </w:r>
      <w:proofErr w:type="spellStart"/>
      <w:r w:rsidR="003C764A">
        <w:rPr>
          <w:rFonts w:cstheme="minorHAnsi"/>
        </w:rPr>
        <w:t>Operations</w:t>
      </w:r>
      <w:proofErr w:type="spellEnd"/>
      <w:r w:rsidR="0029667E" w:rsidRPr="0029667E">
        <w:rPr>
          <w:rFonts w:cstheme="minorHAnsi"/>
        </w:rPr>
        <w:tab/>
      </w:r>
      <w:r w:rsidR="0029667E" w:rsidRPr="0029667E">
        <w:rPr>
          <w:rFonts w:cstheme="minorHAnsi"/>
        </w:rPr>
        <w:tab/>
      </w:r>
      <w:r w:rsidR="00B16CED">
        <w:rPr>
          <w:rFonts w:cstheme="minorHAnsi"/>
        </w:rPr>
        <w:t>May 3, 2013</w:t>
      </w:r>
    </w:p>
    <w:p w:rsidR="0029667E" w:rsidRPr="0029667E" w:rsidRDefault="0029667E" w:rsidP="0029667E">
      <w:pPr>
        <w:spacing w:after="0" w:line="240" w:lineRule="auto"/>
        <w:rPr>
          <w:rFonts w:cstheme="minorHAnsi"/>
        </w:rPr>
      </w:pPr>
    </w:p>
    <w:p w:rsidR="0029667E" w:rsidRPr="0029667E" w:rsidRDefault="0029667E" w:rsidP="0029667E">
      <w:pPr>
        <w:spacing w:after="0" w:line="240" w:lineRule="auto"/>
        <w:rPr>
          <w:rFonts w:cstheme="minorHAnsi"/>
        </w:rPr>
      </w:pPr>
    </w:p>
    <w:p w:rsidR="0029667E" w:rsidRPr="0029667E" w:rsidRDefault="0029667E" w:rsidP="0029667E">
      <w:pPr>
        <w:pBdr>
          <w:bottom w:val="single" w:sz="12" w:space="1" w:color="auto"/>
        </w:pBdr>
        <w:spacing w:after="0" w:line="240" w:lineRule="auto"/>
        <w:rPr>
          <w:rFonts w:cstheme="minorHAnsi"/>
        </w:rPr>
      </w:pPr>
    </w:p>
    <w:p w:rsidR="0029667E" w:rsidRPr="0029667E" w:rsidRDefault="0029667E" w:rsidP="0029667E">
      <w:pPr>
        <w:spacing w:after="0" w:line="240" w:lineRule="auto"/>
        <w:rPr>
          <w:rFonts w:cstheme="minorHAnsi"/>
        </w:rPr>
      </w:pPr>
      <w:r w:rsidRPr="0029667E">
        <w:rPr>
          <w:rFonts w:cstheme="minorHAnsi"/>
        </w:rPr>
        <w:t>Approval Signature (as needed)</w:t>
      </w:r>
      <w:r w:rsidRPr="0029667E">
        <w:rPr>
          <w:rFonts w:cstheme="minorHAnsi"/>
        </w:rPr>
        <w:tab/>
        <w:t>Name, Ti</w:t>
      </w:r>
      <w:r w:rsidR="004F1285">
        <w:rPr>
          <w:rFonts w:cstheme="minorHAnsi"/>
        </w:rPr>
        <w:t>tle</w:t>
      </w:r>
      <w:r w:rsidR="004F1285">
        <w:rPr>
          <w:rFonts w:cstheme="minorHAnsi"/>
        </w:rPr>
        <w:tab/>
      </w:r>
      <w:r w:rsidR="004F1285">
        <w:rPr>
          <w:rFonts w:cstheme="minorHAnsi"/>
        </w:rPr>
        <w:tab/>
        <w:t>Department/Committee</w:t>
      </w:r>
      <w:r w:rsidR="004F1285">
        <w:rPr>
          <w:rFonts w:cstheme="minorHAnsi"/>
        </w:rPr>
        <w:tab/>
      </w:r>
      <w:r w:rsidR="004F1285">
        <w:rPr>
          <w:rFonts w:cstheme="minorHAnsi"/>
        </w:rPr>
        <w:tab/>
        <w:t>Date</w:t>
      </w:r>
    </w:p>
    <w:p w:rsidR="0029667E" w:rsidRPr="0029667E" w:rsidRDefault="0029667E" w:rsidP="0029667E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9667E" w:rsidRPr="0029667E" w:rsidTr="00C90428">
        <w:tc>
          <w:tcPr>
            <w:tcW w:w="2394" w:type="dxa"/>
          </w:tcPr>
          <w:p w:rsidR="0029667E" w:rsidRPr="0029667E" w:rsidRDefault="0029667E" w:rsidP="004F128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94" w:type="dxa"/>
          </w:tcPr>
          <w:p w:rsidR="0029667E" w:rsidRPr="0029667E" w:rsidRDefault="0029667E" w:rsidP="004F128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94" w:type="dxa"/>
          </w:tcPr>
          <w:p w:rsidR="0029667E" w:rsidRPr="0029667E" w:rsidRDefault="0029667E" w:rsidP="004F128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94" w:type="dxa"/>
          </w:tcPr>
          <w:p w:rsidR="00D55158" w:rsidRPr="0029667E" w:rsidRDefault="00D55158" w:rsidP="004F128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9667E" w:rsidRPr="0029667E" w:rsidTr="00C90428">
        <w:tc>
          <w:tcPr>
            <w:tcW w:w="2394" w:type="dxa"/>
          </w:tcPr>
          <w:p w:rsidR="0029667E" w:rsidRPr="0029667E" w:rsidRDefault="0029667E" w:rsidP="004F1285">
            <w:pPr>
              <w:spacing w:after="0" w:line="240" w:lineRule="auto"/>
              <w:rPr>
                <w:rFonts w:cstheme="minorHAnsi"/>
              </w:rPr>
            </w:pPr>
            <w:r w:rsidRPr="0029667E">
              <w:rPr>
                <w:rFonts w:cstheme="minorHAnsi"/>
              </w:rPr>
              <w:t>Reviewed By:</w:t>
            </w:r>
          </w:p>
        </w:tc>
        <w:tc>
          <w:tcPr>
            <w:tcW w:w="2394" w:type="dxa"/>
          </w:tcPr>
          <w:p w:rsidR="0029667E" w:rsidRPr="0029667E" w:rsidRDefault="00F854ED" w:rsidP="004F128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F854ED">
              <w:rPr>
                <w:rFonts w:cstheme="minorHAnsi"/>
                <w:highlight w:val="yellow"/>
              </w:rPr>
              <w:t>name</w:t>
            </w:r>
            <w:r>
              <w:rPr>
                <w:rFonts w:cstheme="minorHAnsi"/>
              </w:rPr>
              <w:t>]</w:t>
            </w:r>
          </w:p>
        </w:tc>
        <w:tc>
          <w:tcPr>
            <w:tcW w:w="2394" w:type="dxa"/>
          </w:tcPr>
          <w:p w:rsidR="0029667E" w:rsidRPr="0029667E" w:rsidRDefault="003C764A" w:rsidP="004F128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Director of Clinical Operations</w:t>
            </w:r>
          </w:p>
        </w:tc>
        <w:tc>
          <w:tcPr>
            <w:tcW w:w="2394" w:type="dxa"/>
          </w:tcPr>
          <w:p w:rsidR="0029667E" w:rsidRPr="0029667E" w:rsidRDefault="00B16CED" w:rsidP="004F128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May 3, 2013</w:t>
            </w:r>
          </w:p>
        </w:tc>
      </w:tr>
    </w:tbl>
    <w:p w:rsidR="00F854ED" w:rsidRDefault="00F854ED" w:rsidP="00CA7B13">
      <w:pPr>
        <w:jc w:val="center"/>
        <w:rPr>
          <w:rFonts w:cstheme="minorHAnsi"/>
          <w:b/>
          <w:u w:val="single"/>
        </w:rPr>
      </w:pPr>
    </w:p>
    <w:p w:rsidR="00CC6597" w:rsidRPr="00CC6597" w:rsidRDefault="00CC6597" w:rsidP="00CC6597">
      <w:pPr>
        <w:rPr>
          <w:rFonts w:cstheme="minorHAnsi"/>
        </w:rPr>
      </w:pPr>
    </w:p>
    <w:sectPr w:rsidR="00CC6597" w:rsidRPr="00CC6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790" w:rsidRDefault="00334790" w:rsidP="005D6DFE">
      <w:pPr>
        <w:spacing w:after="0" w:line="240" w:lineRule="auto"/>
      </w:pPr>
      <w:r>
        <w:separator/>
      </w:r>
    </w:p>
  </w:endnote>
  <w:endnote w:type="continuationSeparator" w:id="0">
    <w:p w:rsidR="00334790" w:rsidRDefault="00334790" w:rsidP="005D6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790" w:rsidRDefault="00334790" w:rsidP="005D6DFE">
      <w:pPr>
        <w:spacing w:after="0" w:line="240" w:lineRule="auto"/>
      </w:pPr>
      <w:r>
        <w:separator/>
      </w:r>
    </w:p>
  </w:footnote>
  <w:footnote w:type="continuationSeparator" w:id="0">
    <w:p w:rsidR="00334790" w:rsidRDefault="00334790" w:rsidP="005D6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0A9"/>
    <w:multiLevelType w:val="hybridMultilevel"/>
    <w:tmpl w:val="A022D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B06C7"/>
    <w:multiLevelType w:val="hybridMultilevel"/>
    <w:tmpl w:val="4C2A5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641B8"/>
    <w:multiLevelType w:val="hybridMultilevel"/>
    <w:tmpl w:val="BECABDEE"/>
    <w:lvl w:ilvl="0" w:tplc="E6BC3E4A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F3BAB"/>
    <w:multiLevelType w:val="hybridMultilevel"/>
    <w:tmpl w:val="9B1AA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C108C"/>
    <w:multiLevelType w:val="hybridMultilevel"/>
    <w:tmpl w:val="72D82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C5D9C"/>
    <w:multiLevelType w:val="hybridMultilevel"/>
    <w:tmpl w:val="9550C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F04D7"/>
    <w:multiLevelType w:val="hybridMultilevel"/>
    <w:tmpl w:val="BAE21B2C"/>
    <w:lvl w:ilvl="0" w:tplc="A3BAA188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516A4"/>
    <w:multiLevelType w:val="hybridMultilevel"/>
    <w:tmpl w:val="6C4ABEE0"/>
    <w:lvl w:ilvl="0" w:tplc="777EA7FE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CB697D"/>
    <w:multiLevelType w:val="hybridMultilevel"/>
    <w:tmpl w:val="77A0A3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C5C5E4C"/>
    <w:multiLevelType w:val="hybridMultilevel"/>
    <w:tmpl w:val="536A9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F5895"/>
    <w:multiLevelType w:val="hybridMultilevel"/>
    <w:tmpl w:val="29A28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132337"/>
    <w:multiLevelType w:val="hybridMultilevel"/>
    <w:tmpl w:val="4978FDE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5"/>
  </w:num>
  <w:num w:numId="5">
    <w:abstractNumId w:val="10"/>
  </w:num>
  <w:num w:numId="6">
    <w:abstractNumId w:val="11"/>
  </w:num>
  <w:num w:numId="7">
    <w:abstractNumId w:val="0"/>
  </w:num>
  <w:num w:numId="8">
    <w:abstractNumId w:val="8"/>
  </w:num>
  <w:num w:numId="9">
    <w:abstractNumId w:val="0"/>
  </w:num>
  <w:num w:numId="10">
    <w:abstractNumId w:val="7"/>
  </w:num>
  <w:num w:numId="11">
    <w:abstractNumId w:val="6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7E"/>
    <w:rsid w:val="000029C1"/>
    <w:rsid w:val="000144F5"/>
    <w:rsid w:val="0002579D"/>
    <w:rsid w:val="00056714"/>
    <w:rsid w:val="00071866"/>
    <w:rsid w:val="00075593"/>
    <w:rsid w:val="000A2FA0"/>
    <w:rsid w:val="000A35FE"/>
    <w:rsid w:val="000E3B20"/>
    <w:rsid w:val="000E5792"/>
    <w:rsid w:val="000F121F"/>
    <w:rsid w:val="00132356"/>
    <w:rsid w:val="00185B72"/>
    <w:rsid w:val="001C3E0E"/>
    <w:rsid w:val="001C4E0D"/>
    <w:rsid w:val="001C57A2"/>
    <w:rsid w:val="001F436E"/>
    <w:rsid w:val="00231FC7"/>
    <w:rsid w:val="0029667E"/>
    <w:rsid w:val="002C7636"/>
    <w:rsid w:val="002D556C"/>
    <w:rsid w:val="00305992"/>
    <w:rsid w:val="00332055"/>
    <w:rsid w:val="00334790"/>
    <w:rsid w:val="00335651"/>
    <w:rsid w:val="00341222"/>
    <w:rsid w:val="00354AF8"/>
    <w:rsid w:val="0036245C"/>
    <w:rsid w:val="003C4BF1"/>
    <w:rsid w:val="003C630C"/>
    <w:rsid w:val="003C764A"/>
    <w:rsid w:val="004467BB"/>
    <w:rsid w:val="0046317F"/>
    <w:rsid w:val="004B16B7"/>
    <w:rsid w:val="004B4983"/>
    <w:rsid w:val="004B4DFC"/>
    <w:rsid w:val="004D0538"/>
    <w:rsid w:val="004F1285"/>
    <w:rsid w:val="00583864"/>
    <w:rsid w:val="005A658C"/>
    <w:rsid w:val="005B1AA7"/>
    <w:rsid w:val="005C3434"/>
    <w:rsid w:val="005D6DFE"/>
    <w:rsid w:val="0061221C"/>
    <w:rsid w:val="006166DA"/>
    <w:rsid w:val="00661D3C"/>
    <w:rsid w:val="006833C2"/>
    <w:rsid w:val="006A0CF1"/>
    <w:rsid w:val="006B0F76"/>
    <w:rsid w:val="006E5BC8"/>
    <w:rsid w:val="006F7A55"/>
    <w:rsid w:val="00702C97"/>
    <w:rsid w:val="00752C69"/>
    <w:rsid w:val="007871ED"/>
    <w:rsid w:val="00794A69"/>
    <w:rsid w:val="007A0859"/>
    <w:rsid w:val="007A0F16"/>
    <w:rsid w:val="007B40F8"/>
    <w:rsid w:val="007C26BC"/>
    <w:rsid w:val="007D2B1C"/>
    <w:rsid w:val="0080031E"/>
    <w:rsid w:val="0080757F"/>
    <w:rsid w:val="00813326"/>
    <w:rsid w:val="00840003"/>
    <w:rsid w:val="00861B07"/>
    <w:rsid w:val="0088130A"/>
    <w:rsid w:val="008C1223"/>
    <w:rsid w:val="008F3C12"/>
    <w:rsid w:val="00903C4F"/>
    <w:rsid w:val="009271FC"/>
    <w:rsid w:val="009734C6"/>
    <w:rsid w:val="009A08B3"/>
    <w:rsid w:val="009D17AE"/>
    <w:rsid w:val="009E5A56"/>
    <w:rsid w:val="00A13C5E"/>
    <w:rsid w:val="00A50B01"/>
    <w:rsid w:val="00AB46A0"/>
    <w:rsid w:val="00B16CED"/>
    <w:rsid w:val="00B517A8"/>
    <w:rsid w:val="00B8451F"/>
    <w:rsid w:val="00BE23C8"/>
    <w:rsid w:val="00BF03F9"/>
    <w:rsid w:val="00BF2AFC"/>
    <w:rsid w:val="00BF4497"/>
    <w:rsid w:val="00BF5C85"/>
    <w:rsid w:val="00C069F2"/>
    <w:rsid w:val="00C15C01"/>
    <w:rsid w:val="00C1722C"/>
    <w:rsid w:val="00C24988"/>
    <w:rsid w:val="00C26C70"/>
    <w:rsid w:val="00C27774"/>
    <w:rsid w:val="00C27BED"/>
    <w:rsid w:val="00C51C4A"/>
    <w:rsid w:val="00C53328"/>
    <w:rsid w:val="00C57295"/>
    <w:rsid w:val="00C7405D"/>
    <w:rsid w:val="00C90428"/>
    <w:rsid w:val="00CA01D6"/>
    <w:rsid w:val="00CA7910"/>
    <w:rsid w:val="00CA7B13"/>
    <w:rsid w:val="00CC6597"/>
    <w:rsid w:val="00CD6949"/>
    <w:rsid w:val="00D004A6"/>
    <w:rsid w:val="00D00AB8"/>
    <w:rsid w:val="00D0169E"/>
    <w:rsid w:val="00D2256D"/>
    <w:rsid w:val="00D24736"/>
    <w:rsid w:val="00D24C52"/>
    <w:rsid w:val="00D4020E"/>
    <w:rsid w:val="00D55158"/>
    <w:rsid w:val="00D64E1E"/>
    <w:rsid w:val="00D64E79"/>
    <w:rsid w:val="00D8148E"/>
    <w:rsid w:val="00DA2FE0"/>
    <w:rsid w:val="00DB6796"/>
    <w:rsid w:val="00DB78C9"/>
    <w:rsid w:val="00E26D88"/>
    <w:rsid w:val="00E32CBC"/>
    <w:rsid w:val="00E8229E"/>
    <w:rsid w:val="00EA670E"/>
    <w:rsid w:val="00EC3A5C"/>
    <w:rsid w:val="00F22ED4"/>
    <w:rsid w:val="00F43186"/>
    <w:rsid w:val="00F4638D"/>
    <w:rsid w:val="00F61ED6"/>
    <w:rsid w:val="00F854ED"/>
    <w:rsid w:val="00FF07EA"/>
    <w:rsid w:val="00FF31DA"/>
    <w:rsid w:val="00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67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04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4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4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638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6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DFE"/>
  </w:style>
  <w:style w:type="paragraph" w:styleId="Footer">
    <w:name w:val="footer"/>
    <w:basedOn w:val="Normal"/>
    <w:link w:val="FooterChar"/>
    <w:uiPriority w:val="99"/>
    <w:unhideWhenUsed/>
    <w:rsid w:val="005D6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D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67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04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4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4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638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6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DFE"/>
  </w:style>
  <w:style w:type="paragraph" w:styleId="Footer">
    <w:name w:val="footer"/>
    <w:basedOn w:val="Normal"/>
    <w:link w:val="FooterChar"/>
    <w:uiPriority w:val="99"/>
    <w:unhideWhenUsed/>
    <w:rsid w:val="005D6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A03A7-6B2A-4964-9F6D-78D09E372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3403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Doy, Andrew</dc:creator>
  <cp:lastModifiedBy>Ada Rosa</cp:lastModifiedBy>
  <cp:revision>2</cp:revision>
  <dcterms:created xsi:type="dcterms:W3CDTF">2013-07-11T16:35:00Z</dcterms:created>
  <dcterms:modified xsi:type="dcterms:W3CDTF">2013-07-11T16:35:00Z</dcterms:modified>
</cp:coreProperties>
</file>